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9FA" w:rsidRDefault="00EF69FA" w:rsidP="00EF69FA">
      <w:pPr>
        <w:pStyle w:val="NormalWeb"/>
        <w:spacing w:line="276" w:lineRule="auto"/>
        <w:jc w:val="both"/>
        <w:rPr>
          <w:rStyle w:val="Forte"/>
          <w:rFonts w:ascii="Arial" w:hAnsi="Arial" w:cs="Arial"/>
          <w:b w:val="0"/>
          <w:sz w:val="22"/>
          <w:szCs w:val="22"/>
        </w:rPr>
      </w:pPr>
    </w:p>
    <w:p w:rsidR="00EF69FA" w:rsidRDefault="00EF69FA" w:rsidP="00EF69FA">
      <w:pPr>
        <w:pStyle w:val="NormalWeb"/>
        <w:spacing w:line="276" w:lineRule="auto"/>
        <w:jc w:val="both"/>
        <w:rPr>
          <w:rStyle w:val="Forte"/>
          <w:rFonts w:ascii="Arial" w:hAnsi="Arial" w:cs="Arial"/>
          <w:b w:val="0"/>
          <w:sz w:val="22"/>
          <w:szCs w:val="22"/>
        </w:rPr>
      </w:pPr>
    </w:p>
    <w:p w:rsidR="000977CE" w:rsidRDefault="000977CE" w:rsidP="00EF69FA">
      <w:pPr>
        <w:pStyle w:val="NormalWeb"/>
        <w:spacing w:line="276" w:lineRule="auto"/>
        <w:jc w:val="both"/>
        <w:rPr>
          <w:rStyle w:val="Forte"/>
          <w:rFonts w:ascii="Arial" w:hAnsi="Arial" w:cs="Arial"/>
          <w:b w:val="0"/>
          <w:sz w:val="22"/>
          <w:szCs w:val="22"/>
        </w:rPr>
      </w:pPr>
    </w:p>
    <w:p w:rsidR="00FD1D46" w:rsidRPr="000977CE" w:rsidRDefault="00FD1D46" w:rsidP="00EF69FA">
      <w:pPr>
        <w:pStyle w:val="NormalWeb"/>
        <w:spacing w:line="276" w:lineRule="auto"/>
        <w:jc w:val="both"/>
        <w:rPr>
          <w:rStyle w:val="Forte"/>
          <w:rFonts w:ascii="Arial" w:hAnsi="Arial" w:cs="Arial"/>
          <w:b w:val="0"/>
          <w:sz w:val="22"/>
          <w:szCs w:val="22"/>
        </w:rPr>
      </w:pPr>
      <w:r w:rsidRPr="000977CE">
        <w:rPr>
          <w:rStyle w:val="Forte"/>
          <w:rFonts w:ascii="Arial" w:hAnsi="Arial" w:cs="Arial"/>
          <w:b w:val="0"/>
          <w:sz w:val="22"/>
          <w:szCs w:val="22"/>
        </w:rPr>
        <w:t xml:space="preserve">São Paulo, </w:t>
      </w:r>
      <w:r w:rsidR="0012004D">
        <w:rPr>
          <w:rStyle w:val="Forte"/>
          <w:rFonts w:ascii="Arial" w:hAnsi="Arial" w:cs="Arial"/>
          <w:b w:val="0"/>
          <w:sz w:val="22"/>
          <w:szCs w:val="22"/>
        </w:rPr>
        <w:t>15</w:t>
      </w:r>
      <w:r w:rsidRPr="000977CE">
        <w:rPr>
          <w:rStyle w:val="Forte"/>
          <w:rFonts w:ascii="Arial" w:hAnsi="Arial" w:cs="Arial"/>
          <w:b w:val="0"/>
          <w:sz w:val="22"/>
          <w:szCs w:val="22"/>
        </w:rPr>
        <w:t xml:space="preserve"> de </w:t>
      </w:r>
      <w:r w:rsidR="00771D03" w:rsidRPr="000977CE">
        <w:rPr>
          <w:rStyle w:val="Forte"/>
          <w:rFonts w:ascii="Arial" w:hAnsi="Arial" w:cs="Arial"/>
          <w:b w:val="0"/>
          <w:sz w:val="22"/>
          <w:szCs w:val="22"/>
        </w:rPr>
        <w:t>dez</w:t>
      </w:r>
      <w:r w:rsidRPr="000977CE">
        <w:rPr>
          <w:rStyle w:val="Forte"/>
          <w:rFonts w:ascii="Arial" w:hAnsi="Arial" w:cs="Arial"/>
          <w:b w:val="0"/>
          <w:sz w:val="22"/>
          <w:szCs w:val="22"/>
        </w:rPr>
        <w:t>embro de 2011.</w:t>
      </w:r>
    </w:p>
    <w:p w:rsidR="00FD1D46" w:rsidRPr="007215B8" w:rsidRDefault="00FD1D46" w:rsidP="00EF69FA">
      <w:pPr>
        <w:pStyle w:val="NormalWeb"/>
        <w:spacing w:line="276" w:lineRule="auto"/>
        <w:jc w:val="both"/>
        <w:rPr>
          <w:rStyle w:val="Forte"/>
          <w:rFonts w:ascii="Arial" w:hAnsi="Arial" w:cs="Arial"/>
          <w:sz w:val="28"/>
          <w:szCs w:val="28"/>
          <w:u w:val="single"/>
        </w:rPr>
      </w:pPr>
    </w:p>
    <w:p w:rsidR="000B7057" w:rsidRPr="000977CE" w:rsidRDefault="000B7057" w:rsidP="00EF69FA">
      <w:pPr>
        <w:spacing w:line="276" w:lineRule="auto"/>
        <w:jc w:val="both"/>
        <w:rPr>
          <w:rFonts w:ascii="Arial" w:hAnsi="Arial" w:cs="Arial"/>
          <w:b/>
          <w:sz w:val="22"/>
          <w:szCs w:val="22"/>
        </w:rPr>
      </w:pPr>
      <w:r w:rsidRPr="000977CE">
        <w:rPr>
          <w:rFonts w:ascii="Arial" w:hAnsi="Arial" w:cs="Arial"/>
          <w:b/>
          <w:sz w:val="22"/>
          <w:szCs w:val="22"/>
        </w:rPr>
        <w:t>CIRCULAR SINAPRO</w:t>
      </w:r>
      <w:r w:rsidR="003E0971">
        <w:rPr>
          <w:rFonts w:ascii="Arial" w:hAnsi="Arial" w:cs="Arial"/>
          <w:b/>
          <w:sz w:val="22"/>
          <w:szCs w:val="22"/>
        </w:rPr>
        <w:t>-</w:t>
      </w:r>
      <w:r w:rsidRPr="000977CE">
        <w:rPr>
          <w:rFonts w:ascii="Arial" w:hAnsi="Arial" w:cs="Arial"/>
          <w:b/>
          <w:sz w:val="22"/>
          <w:szCs w:val="22"/>
        </w:rPr>
        <w:t>SP Nº</w:t>
      </w:r>
      <w:r w:rsidR="00EF69FA" w:rsidRPr="000977CE">
        <w:rPr>
          <w:rFonts w:ascii="Arial" w:hAnsi="Arial" w:cs="Arial"/>
          <w:b/>
          <w:sz w:val="22"/>
          <w:szCs w:val="22"/>
        </w:rPr>
        <w:t xml:space="preserve"> </w:t>
      </w:r>
      <w:r w:rsidRPr="000977CE">
        <w:rPr>
          <w:rFonts w:ascii="Arial" w:hAnsi="Arial" w:cs="Arial"/>
          <w:b/>
          <w:sz w:val="22"/>
          <w:szCs w:val="22"/>
        </w:rPr>
        <w:t>2</w:t>
      </w:r>
      <w:r w:rsidR="00975CDC">
        <w:rPr>
          <w:rFonts w:ascii="Arial" w:hAnsi="Arial" w:cs="Arial"/>
          <w:b/>
          <w:sz w:val="22"/>
          <w:szCs w:val="22"/>
        </w:rPr>
        <w:t>8</w:t>
      </w:r>
      <w:r w:rsidRPr="000977CE">
        <w:rPr>
          <w:rFonts w:ascii="Arial" w:hAnsi="Arial" w:cs="Arial"/>
          <w:b/>
          <w:sz w:val="22"/>
          <w:szCs w:val="22"/>
        </w:rPr>
        <w:t>.2011</w:t>
      </w:r>
    </w:p>
    <w:p w:rsidR="007215B8" w:rsidRPr="007215B8" w:rsidRDefault="007215B8" w:rsidP="00EF69FA">
      <w:pPr>
        <w:spacing w:line="276" w:lineRule="auto"/>
        <w:jc w:val="both"/>
        <w:rPr>
          <w:rFonts w:ascii="Arial" w:hAnsi="Arial" w:cs="Arial"/>
          <w:b/>
          <w:sz w:val="28"/>
          <w:szCs w:val="28"/>
        </w:rPr>
      </w:pPr>
    </w:p>
    <w:p w:rsidR="000B7057" w:rsidRPr="000977CE" w:rsidRDefault="000B7057" w:rsidP="00EF69FA">
      <w:pPr>
        <w:spacing w:line="276" w:lineRule="auto"/>
        <w:jc w:val="both"/>
        <w:rPr>
          <w:rFonts w:ascii="Arial" w:hAnsi="Arial" w:cs="Arial"/>
          <w:sz w:val="22"/>
          <w:szCs w:val="22"/>
        </w:rPr>
      </w:pPr>
      <w:r w:rsidRPr="000977CE">
        <w:rPr>
          <w:rFonts w:ascii="Arial" w:hAnsi="Arial" w:cs="Arial"/>
          <w:sz w:val="22"/>
          <w:szCs w:val="22"/>
        </w:rPr>
        <w:t>A/C: Depto</w:t>
      </w:r>
      <w:r w:rsidR="007215B8">
        <w:rPr>
          <w:rFonts w:ascii="Arial" w:hAnsi="Arial" w:cs="Arial"/>
          <w:sz w:val="22"/>
          <w:szCs w:val="22"/>
        </w:rPr>
        <w:t>s</w:t>
      </w:r>
      <w:r w:rsidRPr="000977CE">
        <w:rPr>
          <w:rFonts w:ascii="Arial" w:hAnsi="Arial" w:cs="Arial"/>
          <w:sz w:val="22"/>
          <w:szCs w:val="22"/>
        </w:rPr>
        <w:t>.</w:t>
      </w:r>
      <w:r w:rsidR="007215B8">
        <w:rPr>
          <w:rFonts w:ascii="Arial" w:hAnsi="Arial" w:cs="Arial"/>
          <w:sz w:val="22"/>
          <w:szCs w:val="22"/>
        </w:rPr>
        <w:t>:</w:t>
      </w:r>
      <w:r w:rsidRPr="000977CE">
        <w:rPr>
          <w:rFonts w:ascii="Arial" w:hAnsi="Arial" w:cs="Arial"/>
          <w:sz w:val="22"/>
          <w:szCs w:val="22"/>
        </w:rPr>
        <w:t xml:space="preserve"> Recursos Humanos</w:t>
      </w:r>
      <w:r w:rsidR="00975CDC">
        <w:rPr>
          <w:rFonts w:ascii="Arial" w:hAnsi="Arial" w:cs="Arial"/>
          <w:sz w:val="22"/>
          <w:szCs w:val="22"/>
        </w:rPr>
        <w:t xml:space="preserve"> / Financeiro</w:t>
      </w:r>
    </w:p>
    <w:p w:rsidR="007215B8" w:rsidRPr="007215B8" w:rsidRDefault="007215B8" w:rsidP="00EF69FA">
      <w:pPr>
        <w:pStyle w:val="NormalWeb"/>
        <w:spacing w:line="276" w:lineRule="auto"/>
        <w:jc w:val="both"/>
        <w:rPr>
          <w:rStyle w:val="Forte"/>
          <w:rFonts w:ascii="Arial" w:hAnsi="Arial" w:cs="Arial"/>
          <w:sz w:val="28"/>
          <w:szCs w:val="28"/>
          <w:u w:val="single"/>
        </w:rPr>
      </w:pPr>
    </w:p>
    <w:p w:rsidR="00763207" w:rsidRPr="00ED4D53" w:rsidRDefault="00763207" w:rsidP="00EF69FA">
      <w:pPr>
        <w:spacing w:line="276" w:lineRule="auto"/>
        <w:jc w:val="both"/>
        <w:rPr>
          <w:rFonts w:ascii="Arial" w:hAnsi="Arial" w:cs="Arial"/>
          <w:b/>
          <w:sz w:val="22"/>
          <w:szCs w:val="22"/>
          <w:u w:val="single"/>
        </w:rPr>
      </w:pPr>
      <w:r w:rsidRPr="000977CE">
        <w:rPr>
          <w:rFonts w:ascii="Arial" w:hAnsi="Arial" w:cs="Arial"/>
          <w:sz w:val="22"/>
          <w:szCs w:val="22"/>
        </w:rPr>
        <w:t>Ref.:</w:t>
      </w:r>
      <w:r w:rsidRPr="000977CE">
        <w:rPr>
          <w:rFonts w:ascii="Arial" w:hAnsi="Arial" w:cs="Arial"/>
          <w:b/>
          <w:sz w:val="22"/>
          <w:szCs w:val="22"/>
        </w:rPr>
        <w:t xml:space="preserve"> </w:t>
      </w:r>
      <w:r w:rsidR="00ED4D53" w:rsidRPr="00ED4D53">
        <w:rPr>
          <w:rFonts w:ascii="Arial" w:hAnsi="Arial" w:cs="Arial"/>
          <w:b/>
          <w:sz w:val="22"/>
          <w:szCs w:val="22"/>
          <w:u w:val="single"/>
        </w:rPr>
        <w:t>Ato Conjunto TST e CSJT sobre Banco Nacional de Devedores Trabalhistas</w:t>
      </w:r>
    </w:p>
    <w:p w:rsidR="00FD1D46" w:rsidRPr="000977CE" w:rsidRDefault="00763207" w:rsidP="00EF69FA">
      <w:pPr>
        <w:pStyle w:val="NormalWeb"/>
        <w:spacing w:line="276" w:lineRule="auto"/>
        <w:jc w:val="both"/>
        <w:rPr>
          <w:rStyle w:val="Forte"/>
          <w:rFonts w:ascii="Arial" w:hAnsi="Arial" w:cs="Arial"/>
          <w:sz w:val="22"/>
          <w:szCs w:val="22"/>
          <w:u w:val="single"/>
        </w:rPr>
      </w:pPr>
      <w:r w:rsidRPr="000977CE">
        <w:rPr>
          <w:rStyle w:val="Forte"/>
          <w:rFonts w:ascii="Arial" w:hAnsi="Arial" w:cs="Arial"/>
          <w:sz w:val="22"/>
          <w:szCs w:val="22"/>
          <w:u w:val="single"/>
        </w:rPr>
        <w:t xml:space="preserve"> </w:t>
      </w:r>
    </w:p>
    <w:p w:rsidR="00FD1D46" w:rsidRDefault="00FD1D46" w:rsidP="00EF69FA">
      <w:pPr>
        <w:pStyle w:val="NormalWeb"/>
        <w:spacing w:line="276" w:lineRule="auto"/>
        <w:jc w:val="both"/>
        <w:rPr>
          <w:rStyle w:val="Forte"/>
          <w:rFonts w:ascii="Arial" w:hAnsi="Arial" w:cs="Arial"/>
          <w:b w:val="0"/>
          <w:sz w:val="22"/>
          <w:szCs w:val="22"/>
        </w:rPr>
      </w:pPr>
      <w:r w:rsidRPr="000977CE">
        <w:rPr>
          <w:rStyle w:val="Forte"/>
          <w:rFonts w:ascii="Arial" w:hAnsi="Arial" w:cs="Arial"/>
          <w:b w:val="0"/>
          <w:sz w:val="22"/>
          <w:szCs w:val="22"/>
        </w:rPr>
        <w:t xml:space="preserve">Prezada Filiada, </w:t>
      </w:r>
    </w:p>
    <w:p w:rsidR="00975CDC" w:rsidRDefault="00975CDC" w:rsidP="00EF69FA">
      <w:pPr>
        <w:pStyle w:val="NormalWeb"/>
        <w:spacing w:line="276" w:lineRule="auto"/>
        <w:jc w:val="both"/>
        <w:rPr>
          <w:rStyle w:val="Forte"/>
          <w:rFonts w:ascii="Arial" w:hAnsi="Arial" w:cs="Arial"/>
          <w:b w:val="0"/>
          <w:sz w:val="22"/>
          <w:szCs w:val="22"/>
        </w:rPr>
      </w:pPr>
    </w:p>
    <w:p w:rsidR="00975CDC" w:rsidRDefault="00975CDC" w:rsidP="00423CDF">
      <w:pPr>
        <w:pStyle w:val="NormalWeb"/>
        <w:spacing w:line="276" w:lineRule="auto"/>
        <w:jc w:val="both"/>
        <w:rPr>
          <w:rFonts w:ascii="Arial" w:hAnsi="Arial" w:cs="Arial"/>
          <w:color w:val="000000"/>
          <w:sz w:val="22"/>
          <w:szCs w:val="22"/>
          <w:bdr w:val="none" w:sz="0" w:space="0" w:color="auto" w:frame="1"/>
        </w:rPr>
      </w:pPr>
      <w:r w:rsidRPr="00975CDC">
        <w:rPr>
          <w:rFonts w:ascii="Arial" w:hAnsi="Arial" w:cs="Arial"/>
          <w:color w:val="000000"/>
          <w:sz w:val="22"/>
          <w:szCs w:val="22"/>
          <w:bdr w:val="none" w:sz="0" w:space="0" w:color="auto" w:frame="1"/>
        </w:rPr>
        <w:t>Foi publicado o Ato Conjunto do Tribunal Superior do Trabalho (“TST”) e do Conselho Superior da Justiça do Trabalho (“CSJT”) nº 41/2011 que regulamenta a abertura pública do Banco Nacional de Devedores Trabalhistas (“BNDT”) "em caráter provisório e precário</w:t>
      </w:r>
      <w:r w:rsidR="00866FDE">
        <w:rPr>
          <w:rFonts w:ascii="Arial" w:hAnsi="Arial" w:cs="Arial"/>
          <w:color w:val="000000"/>
          <w:sz w:val="22"/>
          <w:szCs w:val="22"/>
          <w:bdr w:val="none" w:sz="0" w:space="0" w:color="auto" w:frame="1"/>
        </w:rPr>
        <w:t>”</w:t>
      </w:r>
      <w:r w:rsidRPr="00975CDC">
        <w:rPr>
          <w:rFonts w:ascii="Arial" w:hAnsi="Arial" w:cs="Arial"/>
          <w:color w:val="000000"/>
          <w:sz w:val="22"/>
          <w:szCs w:val="22"/>
          <w:bdr w:val="none" w:sz="0" w:space="0" w:color="auto" w:frame="1"/>
        </w:rPr>
        <w:t xml:space="preserve">. </w:t>
      </w:r>
    </w:p>
    <w:p w:rsidR="00ED4D53" w:rsidRPr="00975CDC" w:rsidRDefault="00ED4D53" w:rsidP="00423CDF">
      <w:pPr>
        <w:pStyle w:val="NormalWeb"/>
        <w:spacing w:line="276" w:lineRule="auto"/>
        <w:jc w:val="both"/>
        <w:rPr>
          <w:rFonts w:ascii="Arial" w:hAnsi="Arial" w:cs="Arial"/>
          <w:color w:val="000000"/>
          <w:sz w:val="22"/>
          <w:szCs w:val="22"/>
          <w:bdr w:val="none" w:sz="0" w:space="0" w:color="auto" w:frame="1"/>
        </w:rPr>
      </w:pPr>
    </w:p>
    <w:p w:rsidR="00975CDC" w:rsidRDefault="00975CDC" w:rsidP="00423CDF">
      <w:pPr>
        <w:pStyle w:val="NormalWeb"/>
        <w:shd w:val="clear" w:color="auto" w:fill="FFFFFF"/>
        <w:spacing w:line="276" w:lineRule="auto"/>
        <w:jc w:val="both"/>
        <w:rPr>
          <w:rFonts w:ascii="Arial" w:hAnsi="Arial" w:cs="Arial"/>
          <w:color w:val="000000"/>
          <w:sz w:val="22"/>
          <w:szCs w:val="22"/>
          <w:bdr w:val="none" w:sz="0" w:space="0" w:color="auto" w:frame="1"/>
        </w:rPr>
      </w:pPr>
      <w:r w:rsidRPr="00975CDC">
        <w:rPr>
          <w:rFonts w:ascii="Arial" w:hAnsi="Arial" w:cs="Arial"/>
          <w:color w:val="000000"/>
          <w:sz w:val="22"/>
          <w:szCs w:val="22"/>
          <w:bdr w:val="none" w:sz="0" w:space="0" w:color="auto" w:frame="1"/>
        </w:rPr>
        <w:t>A partir de 15 de dezembro o TST e o CSJT abrirão consulta prévia ao BNDT, pela internet, que permitirá aos empregadores verificar sua situação quanto ao pagamento de dívidas decorrentes de condenações pela Justiça do Trabalho. Entretanto, essa consulta terá caráter meramente informativo.</w:t>
      </w:r>
    </w:p>
    <w:p w:rsidR="00ED4D53" w:rsidRPr="00975CDC" w:rsidRDefault="00ED4D53" w:rsidP="00423CDF">
      <w:pPr>
        <w:pStyle w:val="NormalWeb"/>
        <w:shd w:val="clear" w:color="auto" w:fill="FFFFFF"/>
        <w:spacing w:line="276" w:lineRule="auto"/>
        <w:jc w:val="both"/>
        <w:rPr>
          <w:rFonts w:ascii="Arial" w:hAnsi="Arial" w:cs="Arial"/>
          <w:color w:val="000000"/>
          <w:sz w:val="22"/>
          <w:szCs w:val="22"/>
          <w:bdr w:val="none" w:sz="0" w:space="0" w:color="auto" w:frame="1"/>
        </w:rPr>
      </w:pPr>
    </w:p>
    <w:p w:rsidR="00975CDC" w:rsidRDefault="00975CDC" w:rsidP="00423CDF">
      <w:pPr>
        <w:pStyle w:val="NormalWeb"/>
        <w:shd w:val="clear" w:color="auto" w:fill="FFFFFF"/>
        <w:spacing w:line="276" w:lineRule="auto"/>
        <w:jc w:val="both"/>
        <w:rPr>
          <w:rFonts w:ascii="Arial" w:hAnsi="Arial" w:cs="Arial"/>
          <w:color w:val="000000"/>
          <w:sz w:val="22"/>
          <w:szCs w:val="22"/>
          <w:bdr w:val="none" w:sz="0" w:space="0" w:color="auto" w:frame="1"/>
        </w:rPr>
      </w:pPr>
      <w:r w:rsidRPr="00975CDC">
        <w:rPr>
          <w:rFonts w:ascii="Arial" w:hAnsi="Arial" w:cs="Arial"/>
          <w:color w:val="000000"/>
          <w:sz w:val="22"/>
          <w:szCs w:val="22"/>
          <w:bdr w:val="none" w:sz="0" w:space="0" w:color="auto" w:frame="1"/>
        </w:rPr>
        <w:t xml:space="preserve">Lembramos que, a partir de 04 de janeiro de 2012, as empresas interessadas em participar de licitações públicas e também as que pleiteiam acesso a programas de incentivos fiscais deverão apresentar a certidão trabalhista (“CNDT”) para atestar que não possuem dívidas pendentes de natureza trabalhista. </w:t>
      </w:r>
    </w:p>
    <w:p w:rsidR="00ED4D53" w:rsidRPr="00975CDC" w:rsidRDefault="00ED4D53" w:rsidP="00423CDF">
      <w:pPr>
        <w:pStyle w:val="NormalWeb"/>
        <w:shd w:val="clear" w:color="auto" w:fill="FFFFFF"/>
        <w:spacing w:line="276" w:lineRule="auto"/>
        <w:jc w:val="both"/>
        <w:rPr>
          <w:rFonts w:ascii="Arial" w:hAnsi="Arial" w:cs="Arial"/>
          <w:color w:val="000000"/>
          <w:sz w:val="22"/>
          <w:szCs w:val="22"/>
          <w:bdr w:val="none" w:sz="0" w:space="0" w:color="auto" w:frame="1"/>
        </w:rPr>
      </w:pPr>
    </w:p>
    <w:p w:rsidR="00975CDC" w:rsidRDefault="00975CDC" w:rsidP="00423CDF">
      <w:pPr>
        <w:pStyle w:val="NormalWeb"/>
        <w:spacing w:line="276" w:lineRule="auto"/>
        <w:jc w:val="both"/>
        <w:rPr>
          <w:rFonts w:ascii="Arial" w:hAnsi="Arial" w:cs="Arial"/>
          <w:color w:val="000000"/>
          <w:sz w:val="22"/>
          <w:szCs w:val="22"/>
          <w:bdr w:val="none" w:sz="0" w:space="0" w:color="auto" w:frame="1"/>
        </w:rPr>
      </w:pPr>
      <w:r w:rsidRPr="00975CDC">
        <w:rPr>
          <w:rFonts w:ascii="Arial" w:hAnsi="Arial" w:cs="Arial"/>
          <w:sz w:val="22"/>
          <w:szCs w:val="22"/>
        </w:rPr>
        <w:t>A</w:t>
      </w:r>
      <w:r w:rsidRPr="00975CDC">
        <w:rPr>
          <w:rFonts w:ascii="Arial" w:hAnsi="Arial" w:cs="Arial"/>
          <w:color w:val="000000"/>
          <w:sz w:val="22"/>
          <w:szCs w:val="22"/>
        </w:rPr>
        <w:t>penas será considerado inadimplente aquele que, ciente de seu dever, deixa de pagar o débito ou não cumpre com</w:t>
      </w:r>
      <w:r w:rsidR="00364266">
        <w:rPr>
          <w:rFonts w:ascii="Arial" w:hAnsi="Arial" w:cs="Arial"/>
          <w:color w:val="000000"/>
          <w:sz w:val="22"/>
          <w:szCs w:val="22"/>
        </w:rPr>
        <w:t xml:space="preserve"> </w:t>
      </w:r>
      <w:r w:rsidRPr="00975CDC">
        <w:rPr>
          <w:rFonts w:ascii="Arial" w:hAnsi="Arial" w:cs="Arial"/>
          <w:color w:val="000000"/>
          <w:sz w:val="22"/>
          <w:szCs w:val="22"/>
        </w:rPr>
        <w:t>obrigação que lhe foi imposta, no prazo previsto em lei, salvo se o débito provier de execução provisória. </w:t>
      </w:r>
      <w:r w:rsidRPr="00975CDC">
        <w:rPr>
          <w:rFonts w:ascii="Arial" w:hAnsi="Arial" w:cs="Arial"/>
          <w:sz w:val="22"/>
          <w:szCs w:val="22"/>
        </w:rPr>
        <w:t xml:space="preserve">A CNDT será emitida pelo TST, no endereço eletrônico </w:t>
      </w:r>
      <w:hyperlink r:id="rId6" w:history="1">
        <w:r w:rsidRPr="00975CDC">
          <w:rPr>
            <w:rStyle w:val="Hiperligao"/>
            <w:rFonts w:ascii="Arial" w:hAnsi="Arial" w:cs="Arial"/>
            <w:sz w:val="22"/>
            <w:szCs w:val="22"/>
          </w:rPr>
          <w:t>www.tst.jus.br</w:t>
        </w:r>
      </w:hyperlink>
      <w:r w:rsidRPr="00975CDC">
        <w:rPr>
          <w:rFonts w:ascii="Arial" w:hAnsi="Arial" w:cs="Arial"/>
          <w:sz w:val="22"/>
          <w:szCs w:val="22"/>
        </w:rPr>
        <w:t xml:space="preserve"> e terá validade de </w:t>
      </w:r>
      <w:r w:rsidRPr="00975CDC">
        <w:rPr>
          <w:rFonts w:ascii="Arial" w:hAnsi="Arial" w:cs="Arial"/>
          <w:color w:val="000000"/>
          <w:sz w:val="22"/>
          <w:szCs w:val="22"/>
          <w:bdr w:val="none" w:sz="0" w:space="0" w:color="auto" w:frame="1"/>
        </w:rPr>
        <w:t>de 180 (cento e oitenta) dias.</w:t>
      </w:r>
    </w:p>
    <w:p w:rsidR="00975CDC" w:rsidRPr="00975CDC" w:rsidRDefault="00975CDC" w:rsidP="00423CDF">
      <w:pPr>
        <w:pStyle w:val="NormalWeb"/>
        <w:spacing w:line="276" w:lineRule="auto"/>
        <w:jc w:val="both"/>
        <w:rPr>
          <w:rFonts w:ascii="Arial" w:hAnsi="Arial" w:cs="Arial"/>
          <w:sz w:val="22"/>
          <w:szCs w:val="22"/>
        </w:rPr>
      </w:pPr>
    </w:p>
    <w:p w:rsidR="00975CDC" w:rsidRPr="00975CDC" w:rsidRDefault="00975CDC" w:rsidP="00423CDF">
      <w:pPr>
        <w:pStyle w:val="NormalWeb"/>
        <w:spacing w:line="276" w:lineRule="auto"/>
        <w:jc w:val="both"/>
        <w:rPr>
          <w:rStyle w:val="Forte"/>
          <w:rFonts w:ascii="Arial" w:hAnsi="Arial" w:cs="Arial"/>
          <w:b w:val="0"/>
          <w:sz w:val="22"/>
          <w:szCs w:val="22"/>
        </w:rPr>
      </w:pPr>
      <w:r w:rsidRPr="00975CDC">
        <w:rPr>
          <w:rFonts w:ascii="Arial" w:hAnsi="Arial" w:cs="Arial"/>
          <w:sz w:val="22"/>
          <w:szCs w:val="22"/>
        </w:rPr>
        <w:t>Por outro lado, débitos com exigibilidade suspensa e casos em que a execução estiver totalmente garantida mediante depósito, bloqueio de numerário ou penhora de bens suficientes, devidamente formalizados, ensejarão a expedição de Certidão Positiva de Débitos Trabalhistas com os mesmos efeitos da negativ</w:t>
      </w:r>
      <w:r w:rsidR="00ED4D53">
        <w:rPr>
          <w:rFonts w:ascii="Arial" w:hAnsi="Arial" w:cs="Arial"/>
          <w:sz w:val="22"/>
          <w:szCs w:val="22"/>
        </w:rPr>
        <w:t>a.</w:t>
      </w:r>
    </w:p>
    <w:p w:rsidR="00364266" w:rsidRDefault="00364266" w:rsidP="00423CDF">
      <w:pPr>
        <w:spacing w:line="276" w:lineRule="auto"/>
        <w:jc w:val="both"/>
        <w:rPr>
          <w:rFonts w:ascii="Arial" w:hAnsi="Arial" w:cs="Arial"/>
          <w:sz w:val="22"/>
          <w:szCs w:val="22"/>
        </w:rPr>
      </w:pPr>
    </w:p>
    <w:p w:rsidR="000B7057" w:rsidRPr="00364266" w:rsidRDefault="00FD1D46" w:rsidP="00423CDF">
      <w:pPr>
        <w:spacing w:line="276" w:lineRule="auto"/>
        <w:jc w:val="both"/>
        <w:rPr>
          <w:rFonts w:ascii="Arial" w:hAnsi="Arial" w:cs="Arial"/>
          <w:color w:val="000000"/>
          <w:sz w:val="22"/>
          <w:szCs w:val="22"/>
        </w:rPr>
      </w:pPr>
      <w:r w:rsidRPr="00364266">
        <w:rPr>
          <w:rFonts w:ascii="Arial" w:hAnsi="Arial" w:cs="Arial"/>
          <w:sz w:val="22"/>
          <w:szCs w:val="22"/>
        </w:rPr>
        <w:t xml:space="preserve">Eram essas as considerações a respeito do assunto, </w:t>
      </w:r>
      <w:r w:rsidR="00EF69FA" w:rsidRPr="00364266">
        <w:rPr>
          <w:rFonts w:ascii="Arial" w:hAnsi="Arial" w:cs="Arial"/>
          <w:sz w:val="22"/>
          <w:szCs w:val="22"/>
        </w:rPr>
        <w:t>e a</w:t>
      </w:r>
      <w:r w:rsidR="000B7057" w:rsidRPr="00364266">
        <w:rPr>
          <w:rFonts w:ascii="Arial" w:hAnsi="Arial" w:cs="Arial"/>
          <w:sz w:val="22"/>
          <w:szCs w:val="22"/>
        </w:rPr>
        <w:t xml:space="preserve">s dúvidas poderão ser dirimidas pelo escritório de advocacia Gambôa Advogados, que presta consultoria Jurídica a esta entidade no telefone (11) 3819-3300 ou email: </w:t>
      </w:r>
      <w:hyperlink r:id="rId7" w:history="1">
        <w:r w:rsidR="000B7057" w:rsidRPr="00364266">
          <w:rPr>
            <w:rStyle w:val="Hiperligao"/>
            <w:rFonts w:ascii="Arial" w:hAnsi="Arial" w:cs="Arial"/>
            <w:b/>
            <w:color w:val="000000"/>
            <w:sz w:val="22"/>
            <w:szCs w:val="22"/>
          </w:rPr>
          <w:t>fabiana@gamboa.adv.br</w:t>
        </w:r>
      </w:hyperlink>
      <w:r w:rsidR="000B7057" w:rsidRPr="00364266">
        <w:rPr>
          <w:rFonts w:ascii="Arial" w:hAnsi="Arial" w:cs="Arial"/>
          <w:b/>
          <w:color w:val="000000"/>
          <w:sz w:val="22"/>
          <w:szCs w:val="22"/>
        </w:rPr>
        <w:t xml:space="preserve"> / </w:t>
      </w:r>
      <w:hyperlink r:id="rId8" w:history="1">
        <w:r w:rsidR="000B7057" w:rsidRPr="00364266">
          <w:rPr>
            <w:rStyle w:val="Hiperligao"/>
            <w:rFonts w:ascii="Arial" w:hAnsi="Arial" w:cs="Arial"/>
            <w:b/>
            <w:color w:val="000000"/>
            <w:sz w:val="22"/>
            <w:szCs w:val="22"/>
          </w:rPr>
          <w:t>gamboa@gamboa.adv.br</w:t>
        </w:r>
      </w:hyperlink>
    </w:p>
    <w:p w:rsidR="000977CE" w:rsidRPr="00364266" w:rsidRDefault="000977CE" w:rsidP="00423CDF">
      <w:pPr>
        <w:spacing w:line="276" w:lineRule="auto"/>
        <w:ind w:right="44"/>
        <w:jc w:val="both"/>
        <w:rPr>
          <w:rFonts w:ascii="Arial" w:hAnsi="Arial" w:cs="Arial"/>
          <w:sz w:val="22"/>
          <w:szCs w:val="22"/>
        </w:rPr>
      </w:pPr>
    </w:p>
    <w:p w:rsidR="000B7057" w:rsidRPr="000977CE" w:rsidRDefault="000B7057" w:rsidP="00EF69FA">
      <w:pPr>
        <w:spacing w:line="276" w:lineRule="auto"/>
        <w:ind w:right="44"/>
        <w:jc w:val="both"/>
        <w:rPr>
          <w:rFonts w:ascii="Arial" w:hAnsi="Arial" w:cs="Arial"/>
          <w:sz w:val="22"/>
          <w:szCs w:val="22"/>
        </w:rPr>
      </w:pPr>
      <w:r w:rsidRPr="000977CE">
        <w:rPr>
          <w:rFonts w:ascii="Arial" w:hAnsi="Arial" w:cs="Arial"/>
          <w:sz w:val="22"/>
          <w:szCs w:val="22"/>
        </w:rPr>
        <w:t>Atenciosamente,</w:t>
      </w:r>
    </w:p>
    <w:p w:rsidR="00EF69FA" w:rsidRPr="000977CE" w:rsidRDefault="00EF69FA" w:rsidP="00EF69FA">
      <w:pPr>
        <w:spacing w:line="276" w:lineRule="auto"/>
        <w:jc w:val="both"/>
        <w:rPr>
          <w:rFonts w:ascii="Arial" w:hAnsi="Arial" w:cs="Arial"/>
          <w:noProof/>
          <w:sz w:val="22"/>
          <w:szCs w:val="22"/>
        </w:rPr>
      </w:pPr>
    </w:p>
    <w:p w:rsidR="00423CDF" w:rsidRDefault="00423CDF" w:rsidP="00EF69FA">
      <w:pPr>
        <w:spacing w:line="276" w:lineRule="auto"/>
        <w:jc w:val="both"/>
        <w:rPr>
          <w:rFonts w:ascii="Arial" w:hAnsi="Arial" w:cs="Arial"/>
          <w:noProof/>
          <w:sz w:val="22"/>
          <w:szCs w:val="22"/>
        </w:rPr>
      </w:pPr>
    </w:p>
    <w:p w:rsidR="00423CDF" w:rsidRDefault="00423CDF" w:rsidP="00EF69FA">
      <w:pPr>
        <w:spacing w:line="276" w:lineRule="auto"/>
        <w:jc w:val="both"/>
        <w:rPr>
          <w:rFonts w:ascii="Arial" w:hAnsi="Arial" w:cs="Arial"/>
          <w:noProof/>
          <w:sz w:val="22"/>
          <w:szCs w:val="22"/>
        </w:rPr>
      </w:pPr>
      <w:r>
        <w:rPr>
          <w:rFonts w:ascii="Arial" w:hAnsi="Arial" w:cs="Arial"/>
          <w:noProof/>
          <w:sz w:val="22"/>
          <w:szCs w:val="22"/>
        </w:rPr>
        <w:drawing>
          <wp:inline distT="0" distB="0" distL="0" distR="0">
            <wp:extent cx="2457450" cy="685800"/>
            <wp:effectExtent l="19050" t="0" r="0" b="0"/>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9" cstate="print"/>
                    <a:srcRect/>
                    <a:stretch>
                      <a:fillRect/>
                    </a:stretch>
                  </pic:blipFill>
                  <pic:spPr bwMode="auto">
                    <a:xfrm>
                      <a:off x="0" y="0"/>
                      <a:ext cx="2457450" cy="685800"/>
                    </a:xfrm>
                    <a:prstGeom prst="rect">
                      <a:avLst/>
                    </a:prstGeom>
                    <a:noFill/>
                    <a:ln w="9525">
                      <a:noFill/>
                      <a:miter lim="800000"/>
                      <a:headEnd/>
                      <a:tailEnd/>
                    </a:ln>
                  </pic:spPr>
                </pic:pic>
              </a:graphicData>
            </a:graphic>
          </wp:inline>
        </w:drawing>
      </w:r>
    </w:p>
    <w:p w:rsidR="000B7057" w:rsidRPr="000977CE" w:rsidRDefault="000B7057" w:rsidP="00EF69FA">
      <w:pPr>
        <w:spacing w:line="276" w:lineRule="auto"/>
        <w:rPr>
          <w:rFonts w:ascii="Arial" w:hAnsi="Arial" w:cs="Arial"/>
          <w:sz w:val="22"/>
          <w:szCs w:val="22"/>
          <w:lang w:eastAsia="ar-SA"/>
        </w:rPr>
      </w:pPr>
      <w:r w:rsidRPr="000977CE">
        <w:rPr>
          <w:rFonts w:ascii="Arial" w:hAnsi="Arial" w:cs="Arial"/>
          <w:b/>
          <w:bCs/>
          <w:sz w:val="22"/>
          <w:szCs w:val="22"/>
          <w:lang w:eastAsia="ar-SA"/>
        </w:rPr>
        <w:t>Francisco Sales Romeu de Moraes</w:t>
      </w:r>
      <w:r w:rsidRPr="000977CE">
        <w:rPr>
          <w:rFonts w:ascii="Arial" w:hAnsi="Arial" w:cs="Arial"/>
          <w:sz w:val="22"/>
          <w:szCs w:val="22"/>
          <w:lang w:eastAsia="ar-SA"/>
        </w:rPr>
        <w:br/>
        <w:t>Diretor Executivo</w:t>
      </w:r>
    </w:p>
    <w:sectPr w:rsidR="000B7057" w:rsidRPr="000977CE" w:rsidSect="00423CDF">
      <w:pgSz w:w="11906" w:h="16838" w:code="9"/>
      <w:pgMar w:top="1134" w:right="707" w:bottom="567" w:left="90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E6937"/>
    <w:multiLevelType w:val="hybridMultilevel"/>
    <w:tmpl w:val="C510947C"/>
    <w:lvl w:ilvl="0" w:tplc="2EDAADB0">
      <w:start w:val="1"/>
      <w:numFmt w:val="lowerRoman"/>
      <w:lvlText w:val="(%1)"/>
      <w:lvlJc w:val="left"/>
      <w:pPr>
        <w:tabs>
          <w:tab w:val="num" w:pos="1728"/>
        </w:tabs>
        <w:ind w:left="1728" w:hanging="10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FD1D46"/>
    <w:rsid w:val="000977CE"/>
    <w:rsid w:val="000B7057"/>
    <w:rsid w:val="00112082"/>
    <w:rsid w:val="0012004D"/>
    <w:rsid w:val="001D0E48"/>
    <w:rsid w:val="002550FE"/>
    <w:rsid w:val="002D5A37"/>
    <w:rsid w:val="002E5796"/>
    <w:rsid w:val="002F185F"/>
    <w:rsid w:val="00364266"/>
    <w:rsid w:val="003E0971"/>
    <w:rsid w:val="003F433E"/>
    <w:rsid w:val="00423CDF"/>
    <w:rsid w:val="004968F1"/>
    <w:rsid w:val="00497D6F"/>
    <w:rsid w:val="004A68C6"/>
    <w:rsid w:val="004A7FC9"/>
    <w:rsid w:val="004E1A73"/>
    <w:rsid w:val="00581CE3"/>
    <w:rsid w:val="006C2884"/>
    <w:rsid w:val="007215B8"/>
    <w:rsid w:val="0074378E"/>
    <w:rsid w:val="00763207"/>
    <w:rsid w:val="00764AB9"/>
    <w:rsid w:val="00771D03"/>
    <w:rsid w:val="00797CC4"/>
    <w:rsid w:val="00866FDE"/>
    <w:rsid w:val="0094083E"/>
    <w:rsid w:val="00975CDC"/>
    <w:rsid w:val="00B17157"/>
    <w:rsid w:val="00B87488"/>
    <w:rsid w:val="00B96D6E"/>
    <w:rsid w:val="00EB47E7"/>
    <w:rsid w:val="00ED4D53"/>
    <w:rsid w:val="00EF69FA"/>
    <w:rsid w:val="00F27769"/>
    <w:rsid w:val="00FD1D46"/>
    <w:rsid w:val="00FD32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D46"/>
    <w:rPr>
      <w:rFonts w:ascii="Times New Roman" w:eastAsia="Times New Roman" w:hAnsi="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rsid w:val="00FD1D46"/>
  </w:style>
  <w:style w:type="character" w:styleId="Forte">
    <w:name w:val="Strong"/>
    <w:basedOn w:val="Tipodeletrapredefinidodopargrafo"/>
    <w:qFormat/>
    <w:rsid w:val="00FD1D46"/>
    <w:rPr>
      <w:b/>
      <w:bCs/>
    </w:rPr>
  </w:style>
  <w:style w:type="character" w:styleId="Hiperligao">
    <w:name w:val="Hyperlink"/>
    <w:basedOn w:val="Tipodeletrapredefinidodopargrafo"/>
    <w:rsid w:val="000B7057"/>
    <w:rPr>
      <w:color w:val="0000FF"/>
      <w:u w:val="single"/>
    </w:rPr>
  </w:style>
  <w:style w:type="paragraph" w:styleId="Textodebalo">
    <w:name w:val="Balloon Text"/>
    <w:basedOn w:val="Normal"/>
    <w:link w:val="TextodebaloCarcter"/>
    <w:uiPriority w:val="99"/>
    <w:semiHidden/>
    <w:unhideWhenUsed/>
    <w:rsid w:val="004968F1"/>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968F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mboa@gamboa.adv.br" TargetMode="External"/><Relationship Id="rId3" Type="http://schemas.openxmlformats.org/officeDocument/2006/relationships/styles" Target="styles.xml"/><Relationship Id="rId7" Type="http://schemas.openxmlformats.org/officeDocument/2006/relationships/hyperlink" Target="mailto:fabiana@gamboa.ad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st.jus.b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48B14-5EE0-4586-BE30-66D49FF63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339</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Links>
    <vt:vector size="12" baseType="variant">
      <vt:variant>
        <vt:i4>5242921</vt:i4>
      </vt:variant>
      <vt:variant>
        <vt:i4>3</vt:i4>
      </vt:variant>
      <vt:variant>
        <vt:i4>0</vt:i4>
      </vt:variant>
      <vt:variant>
        <vt:i4>5</vt:i4>
      </vt:variant>
      <vt:variant>
        <vt:lpwstr>mailto:gamboa@gamboa.adv.br</vt:lpwstr>
      </vt:variant>
      <vt:variant>
        <vt:lpwstr/>
      </vt:variant>
      <vt:variant>
        <vt:i4>1376379</vt:i4>
      </vt:variant>
      <vt:variant>
        <vt:i4>0</vt:i4>
      </vt:variant>
      <vt:variant>
        <vt:i4>0</vt:i4>
      </vt:variant>
      <vt:variant>
        <vt:i4>5</vt:i4>
      </vt:variant>
      <vt:variant>
        <vt:lpwstr>mailto:fabiana@gamboa.adv.br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Operacional 2</dc:creator>
  <cp:keywords/>
  <dc:description/>
  <cp:lastModifiedBy>Sueli</cp:lastModifiedBy>
  <cp:revision>12</cp:revision>
  <cp:lastPrinted>2011-12-15T12:05:00Z</cp:lastPrinted>
  <dcterms:created xsi:type="dcterms:W3CDTF">2011-12-05T13:46:00Z</dcterms:created>
  <dcterms:modified xsi:type="dcterms:W3CDTF">2011-12-15T12:09:00Z</dcterms:modified>
</cp:coreProperties>
</file>